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7D2E705B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590CBE">
        <w:rPr>
          <w:sz w:val="36"/>
          <w:szCs w:val="14"/>
          <w:lang w:val="en-AU"/>
        </w:rPr>
        <w:t>Corporate and Administrative staff</w:t>
      </w:r>
      <w:r w:rsidR="001E7BE6">
        <w:rPr>
          <w:sz w:val="36"/>
          <w:szCs w:val="14"/>
          <w:lang w:val="en-AU"/>
        </w:rPr>
        <w:t xml:space="preserve"> – </w:t>
      </w:r>
      <w:r w:rsidR="00D16037">
        <w:rPr>
          <w:sz w:val="36"/>
          <w:szCs w:val="14"/>
          <w:lang w:val="en-AU"/>
        </w:rPr>
        <w:t>in</w:t>
      </w:r>
      <w:r w:rsidR="001E7BE6">
        <w:rPr>
          <w:sz w:val="36"/>
          <w:szCs w:val="14"/>
          <w:lang w:val="en-AU"/>
        </w:rPr>
        <w:t>direct patient contact</w:t>
      </w:r>
    </w:p>
    <w:p w14:paraId="7FCCCB61" w14:textId="77777777" w:rsidR="00590CBE" w:rsidRDefault="00590CBE" w:rsidP="00590CBE">
      <w:pPr>
        <w:rPr>
          <w:sz w:val="22"/>
          <w:szCs w:val="20"/>
        </w:rPr>
      </w:pPr>
      <w:r>
        <w:rPr>
          <w:sz w:val="22"/>
          <w:szCs w:val="20"/>
        </w:rPr>
        <w:t xml:space="preserve">Staff who have indirect patient contact do not regularly interact with patients and families. </w:t>
      </w:r>
      <w:r w:rsidRPr="002C6A9D">
        <w:rPr>
          <w:sz w:val="22"/>
          <w:szCs w:val="20"/>
        </w:rPr>
        <w:t xml:space="preserve">Staff included in this category </w:t>
      </w:r>
      <w:r>
        <w:rPr>
          <w:sz w:val="22"/>
          <w:szCs w:val="20"/>
        </w:rPr>
        <w:t>are</w:t>
      </w:r>
      <w:r w:rsidRPr="002C6A9D">
        <w:rPr>
          <w:sz w:val="22"/>
          <w:szCs w:val="20"/>
        </w:rPr>
        <w:t xml:space="preserve"> </w:t>
      </w:r>
      <w:r>
        <w:rPr>
          <w:sz w:val="22"/>
          <w:szCs w:val="20"/>
        </w:rPr>
        <w:t>e</w:t>
      </w:r>
      <w:r w:rsidRPr="002C6A9D">
        <w:rPr>
          <w:sz w:val="22"/>
          <w:szCs w:val="20"/>
        </w:rPr>
        <w:t xml:space="preserve">xecutive, admin support staff, medical illustrations, </w:t>
      </w:r>
      <w:r>
        <w:rPr>
          <w:sz w:val="22"/>
          <w:szCs w:val="20"/>
        </w:rPr>
        <w:t xml:space="preserve">medical </w:t>
      </w:r>
      <w:r w:rsidRPr="002C6A9D">
        <w:rPr>
          <w:sz w:val="22"/>
          <w:szCs w:val="20"/>
        </w:rPr>
        <w:t xml:space="preserve">library, medical records, clerical, project officers, data entry, data </w:t>
      </w:r>
      <w:proofErr w:type="spellStart"/>
      <w:r w:rsidRPr="002C6A9D">
        <w:rPr>
          <w:sz w:val="22"/>
          <w:szCs w:val="20"/>
        </w:rPr>
        <w:t>analyists</w:t>
      </w:r>
      <w:proofErr w:type="spellEnd"/>
      <w:r w:rsidRPr="002C6A9D">
        <w:rPr>
          <w:sz w:val="22"/>
          <w:szCs w:val="20"/>
        </w:rPr>
        <w:t>.</w:t>
      </w:r>
    </w:p>
    <w:p w14:paraId="2D092814" w14:textId="77777777" w:rsidR="00590CBE" w:rsidRDefault="00E11C29" w:rsidP="00590CBE">
      <w:r>
        <w:rPr>
          <w:sz w:val="22"/>
          <w:szCs w:val="20"/>
        </w:rPr>
        <w:t>This checklist is to be included with your annual performance development and review.</w:t>
      </w:r>
      <w:r w:rsidR="004C2BF8">
        <w:rPr>
          <w:sz w:val="22"/>
          <w:szCs w:val="20"/>
        </w:rPr>
        <w:t xml:space="preserve"> Please review the mandatory training framework for up to date information on requirements and relevancy: </w:t>
      </w:r>
      <w:hyperlink r:id="rId11" w:history="1">
        <w:r w:rsidR="00590CBE">
          <w:rPr>
            <w:rStyle w:val="Hyperlink"/>
          </w:rPr>
          <w:t>Corp_MT_200624.pdf (health.wa.gov.au)</w:t>
        </w:r>
      </w:hyperlink>
    </w:p>
    <w:p w14:paraId="1AE2E494" w14:textId="150CF469" w:rsidR="004C2BF8" w:rsidRDefault="00C40BA4" w:rsidP="00590CBE">
      <w:r w:rsidRPr="00590CBE">
        <w:rPr>
          <w:b/>
          <w:bCs/>
        </w:rPr>
        <w:t>Name:</w:t>
      </w:r>
      <w:r w:rsidR="004C2BF8">
        <w:t xml:space="preserve"> </w:t>
      </w:r>
      <w:sdt>
        <w:sdtPr>
          <w:id w:val="774674413"/>
          <w:placeholder>
            <w:docPart w:val="DB737A3F2ABC4166A1520499C09D204B"/>
          </w:placeholder>
          <w:showingPlcHdr/>
          <w:text/>
        </w:sdtPr>
        <w:sdtEndPr/>
        <w:sdtContent>
          <w:r w:rsidR="004C2BF8" w:rsidRPr="002C7974">
            <w:rPr>
              <w:rStyle w:val="PlaceholderText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6C7B18" w:rsidRPr="00E11C29" w14:paraId="5A6E069E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vAlign w:val="bottom"/>
            <w:hideMark/>
          </w:tcPr>
          <w:p w14:paraId="4638B635" w14:textId="6D60E62C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  <w:hideMark/>
          </w:tcPr>
          <w:p w14:paraId="08B2E247" w14:textId="2DB8750C" w:rsidR="006C7B18" w:rsidRPr="00E11C29" w:rsidRDefault="004C2BF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</w:tcPr>
          <w:p w14:paraId="6E44A4AA" w14:textId="39268A29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7BC2534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2EC449" w14:textId="7474D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2CF91D" w14:textId="0C885FE7" w:rsidR="006C7B18" w:rsidRPr="00FF78DC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3553AC3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170AC16" w14:textId="77777777" w:rsidTr="00FF78DC">
        <w:trPr>
          <w:trHeight w:val="307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02146B" w14:textId="76B83F95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D62668" w14:textId="2298370B" w:rsidR="006C7B18" w:rsidRPr="00E11C29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D3DA85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433734ED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AD5E24" w14:textId="6DFC192F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warden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015674" w14:textId="5A36CF90" w:rsidR="006C7B18" w:rsidRPr="00E11C29" w:rsidRDefault="00FF78DC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2AD7390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81F53" w:rsidRPr="00E11C29" w14:paraId="08B5575B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7B1EC83" w14:textId="059BED2D" w:rsidR="00881F53" w:rsidRPr="00E11C29" w:rsidRDefault="00881F53" w:rsidP="00881F53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FCB3C27" w14:textId="4EE9B0AB" w:rsidR="00881F53" w:rsidRPr="00FF78DC" w:rsidRDefault="00FF78DC" w:rsidP="00881F53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CF607D" w14:textId="77777777" w:rsidR="00881F53" w:rsidRPr="00E11C29" w:rsidRDefault="00881F53" w:rsidP="00881F5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5B7BF30A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07CCC0" w14:textId="104B268F" w:rsidR="006C7B18" w:rsidRPr="004C2BF8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>Hand hygiene - non-clinical module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346DE82" w14:textId="7B6D09F3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5B2127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74DC00A" w14:textId="4CA5F207" w:rsidR="00FF78DC" w:rsidRDefault="00FF78DC" w:rsidP="00F97650">
      <w:pPr>
        <w:pStyle w:val="Heading2"/>
        <w:spacing w:before="0"/>
      </w:pPr>
      <w:r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F78DC" w:rsidRPr="00E11C29" w14:paraId="63D29498" w14:textId="77777777" w:rsidTr="00F97650">
        <w:trPr>
          <w:trHeight w:val="257"/>
        </w:trPr>
        <w:tc>
          <w:tcPr>
            <w:tcW w:w="3335" w:type="pct"/>
            <w:shd w:val="clear" w:color="auto" w:fill="AAC8AC"/>
            <w:vAlign w:val="bottom"/>
          </w:tcPr>
          <w:p w14:paraId="63BC7B37" w14:textId="46D047E3" w:rsidR="00FF78DC" w:rsidRPr="00E11C29" w:rsidRDefault="00FF78DC" w:rsidP="00FF78DC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AAC8AC"/>
            <w:vAlign w:val="bottom"/>
          </w:tcPr>
          <w:p w14:paraId="50CFDC2C" w14:textId="3F62A170" w:rsidR="00FF78DC" w:rsidRPr="00E11C29" w:rsidRDefault="00FF78DC" w:rsidP="00FF78DC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AAC8AC"/>
            <w:noWrap/>
            <w:vAlign w:val="bottom"/>
          </w:tcPr>
          <w:p w14:paraId="513E731A" w14:textId="45D81496" w:rsidR="00FF78DC" w:rsidRPr="00E11C29" w:rsidRDefault="00FF78DC" w:rsidP="00FF78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A1AC509" w14:textId="77777777" w:rsidTr="00F97650">
        <w:trPr>
          <w:trHeight w:val="257"/>
        </w:trPr>
        <w:tc>
          <w:tcPr>
            <w:tcW w:w="3335" w:type="pct"/>
            <w:shd w:val="clear" w:color="auto" w:fill="auto"/>
            <w:vAlign w:val="bottom"/>
            <w:hideMark/>
          </w:tcPr>
          <w:p w14:paraId="1B7510AB" w14:textId="3630F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Accountable and ethical </w:t>
            </w:r>
            <w:proofErr w:type="gramStart"/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decision making</w:t>
            </w:r>
            <w:proofErr w:type="gramEnd"/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refresher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750D3521" w14:textId="58710F89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8F13F6B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2E9B5AE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327C7655" w14:textId="6FD1DA2B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6BD45FF6" w14:textId="090B821A" w:rsidR="006C7B18" w:rsidRPr="00FF78DC" w:rsidRDefault="00FF78DC" w:rsidP="006C7B18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4E775B4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632237F" w14:textId="77777777" w:rsidTr="00F97650">
        <w:trPr>
          <w:trHeight w:val="237"/>
        </w:trPr>
        <w:tc>
          <w:tcPr>
            <w:tcW w:w="3335" w:type="pct"/>
            <w:shd w:val="clear" w:color="auto" w:fill="auto"/>
            <w:vAlign w:val="bottom"/>
            <w:hideMark/>
          </w:tcPr>
          <w:p w14:paraId="6F2CDACC" w14:textId="29592F4A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6D2AFC8" w14:textId="65DD8721" w:rsidR="006C7B18" w:rsidRPr="00E11C29" w:rsidRDefault="00FF78DC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6C954983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CCD1846" w14:textId="3A8B7C6E" w:rsidR="00FF78DC" w:rsidRPr="00F97650" w:rsidRDefault="00F97650" w:rsidP="00F97650">
      <w:pPr>
        <w:pStyle w:val="Heading2"/>
        <w:spacing w:before="0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97650" w:rsidRPr="00E11C29" w14:paraId="7555296C" w14:textId="77777777" w:rsidTr="00F97650">
        <w:trPr>
          <w:trHeight w:val="300"/>
        </w:trPr>
        <w:tc>
          <w:tcPr>
            <w:tcW w:w="3335" w:type="pct"/>
            <w:shd w:val="clear" w:color="auto" w:fill="E8B7B7"/>
            <w:vAlign w:val="bottom"/>
          </w:tcPr>
          <w:bookmarkEnd w:id="0"/>
          <w:p w14:paraId="06CD7078" w14:textId="7A91DABE" w:rsidR="00F97650" w:rsidRPr="00E11C29" w:rsidRDefault="00F97650" w:rsidP="00F9765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E8B7B7"/>
            <w:noWrap/>
            <w:vAlign w:val="bottom"/>
          </w:tcPr>
          <w:p w14:paraId="12605482" w14:textId="4881B245" w:rsidR="00F97650" w:rsidRPr="00E11C29" w:rsidRDefault="00F97650" w:rsidP="00F9765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E8B7B7"/>
            <w:noWrap/>
            <w:vAlign w:val="bottom"/>
          </w:tcPr>
          <w:p w14:paraId="1496B973" w14:textId="32A0D5A9" w:rsidR="00F97650" w:rsidRPr="00E11C29" w:rsidRDefault="00F97650" w:rsidP="00F9765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50328EAD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5C4E4A6C" w14:textId="68FF9B1C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289FE2E" w14:textId="04D485D2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00FB9FEA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0E2FB41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1A8CA0B4" w14:textId="0C6DCEE3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FFDDBB4" w14:textId="76A7C5B9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E723387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1F3B8D" w:rsidRPr="00E11C29" w14:paraId="1D2737EB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</w:tcPr>
          <w:p w14:paraId="29FA00CE" w14:textId="71938583" w:rsidR="001F3B8D" w:rsidRPr="00E11C29" w:rsidRDefault="001F3B8D" w:rsidP="001F3B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Manual tasks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6FDB1C7" w14:textId="0E440573" w:rsidR="001F3B8D" w:rsidRPr="00F97650" w:rsidRDefault="001F3B8D" w:rsidP="001F3B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7D9A226A" w14:textId="77777777" w:rsidR="001F3B8D" w:rsidRPr="00E11C29" w:rsidRDefault="001F3B8D" w:rsidP="001F3B8D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1F3B8D" w:rsidRPr="00E11C29" w14:paraId="155A279E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</w:tcPr>
          <w:p w14:paraId="13A091F3" w14:textId="4375F51D" w:rsidR="001F3B8D" w:rsidRPr="00E11C29" w:rsidRDefault="001F3B8D" w:rsidP="001F3B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PPE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20BCEBA" w14:textId="0DE7FF83" w:rsidR="001F3B8D" w:rsidRPr="00F97650" w:rsidRDefault="001F3B8D" w:rsidP="001F3B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6A0678EE" w14:textId="77777777" w:rsidR="001F3B8D" w:rsidRPr="00E11C29" w:rsidRDefault="001F3B8D" w:rsidP="001F3B8D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1F3B8D" w:rsidRPr="00E11C29" w14:paraId="650CE6BD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</w:tcPr>
          <w:p w14:paraId="6705EBBE" w14:textId="1062A5F2" w:rsidR="001F3B8D" w:rsidRPr="00E11C29" w:rsidRDefault="001F3B8D" w:rsidP="001F3B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1F3B8D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6931D800" w14:textId="3529FD9C" w:rsidR="001F3B8D" w:rsidRPr="00F97650" w:rsidRDefault="001F3B8D" w:rsidP="001F3B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8385B22" w14:textId="77777777" w:rsidR="001F3B8D" w:rsidRPr="00E11C29" w:rsidRDefault="001F3B8D" w:rsidP="001F3B8D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7B9A324" w14:textId="3F72E423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3B8D"/>
    <w:rsid w:val="001F6030"/>
    <w:rsid w:val="001F68E9"/>
    <w:rsid w:val="00212147"/>
    <w:rsid w:val="00220E8F"/>
    <w:rsid w:val="002A54A2"/>
    <w:rsid w:val="002B1530"/>
    <w:rsid w:val="002C0BCF"/>
    <w:rsid w:val="002C717F"/>
    <w:rsid w:val="002C7D7D"/>
    <w:rsid w:val="002E3E37"/>
    <w:rsid w:val="002E5F5B"/>
    <w:rsid w:val="002E751D"/>
    <w:rsid w:val="003110DD"/>
    <w:rsid w:val="00333649"/>
    <w:rsid w:val="00340CDB"/>
    <w:rsid w:val="00355004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57818"/>
    <w:rsid w:val="00564EC0"/>
    <w:rsid w:val="0056716B"/>
    <w:rsid w:val="00587BF5"/>
    <w:rsid w:val="00590CBE"/>
    <w:rsid w:val="005A409E"/>
    <w:rsid w:val="005B339A"/>
    <w:rsid w:val="005D455D"/>
    <w:rsid w:val="00613AB2"/>
    <w:rsid w:val="00683D54"/>
    <w:rsid w:val="006C7B18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1F53"/>
    <w:rsid w:val="00882643"/>
    <w:rsid w:val="00897837"/>
    <w:rsid w:val="008C14AA"/>
    <w:rsid w:val="008D0803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91C4C"/>
    <w:rsid w:val="00AA1620"/>
    <w:rsid w:val="00AF0C79"/>
    <w:rsid w:val="00B21ED2"/>
    <w:rsid w:val="00B4214A"/>
    <w:rsid w:val="00BB38F2"/>
    <w:rsid w:val="00BB5682"/>
    <w:rsid w:val="00BB59B3"/>
    <w:rsid w:val="00BD41EB"/>
    <w:rsid w:val="00BD7C33"/>
    <w:rsid w:val="00BE3C2D"/>
    <w:rsid w:val="00C05DD4"/>
    <w:rsid w:val="00C13151"/>
    <w:rsid w:val="00C232D0"/>
    <w:rsid w:val="00C40BA4"/>
    <w:rsid w:val="00C7143D"/>
    <w:rsid w:val="00C729CE"/>
    <w:rsid w:val="00CF2778"/>
    <w:rsid w:val="00CF64E2"/>
    <w:rsid w:val="00D102A2"/>
    <w:rsid w:val="00D147D4"/>
    <w:rsid w:val="00D16037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D062B"/>
    <w:rsid w:val="00F201F2"/>
    <w:rsid w:val="00F442A0"/>
    <w:rsid w:val="00F47422"/>
    <w:rsid w:val="00F647BD"/>
    <w:rsid w:val="00F74CC7"/>
    <w:rsid w:val="00F86023"/>
    <w:rsid w:val="00F9320D"/>
    <w:rsid w:val="00F93DAB"/>
    <w:rsid w:val="00F96CD9"/>
    <w:rsid w:val="00F97650"/>
    <w:rsid w:val="00FC1B1A"/>
    <w:rsid w:val="00FF0D8D"/>
    <w:rsid w:val="00FF19A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Corp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4</cp:revision>
  <dcterms:created xsi:type="dcterms:W3CDTF">2024-06-25T07:12:00Z</dcterms:created>
  <dcterms:modified xsi:type="dcterms:W3CDTF">2024-06-25T07:17:00Z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